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2CA2" w:rsidRDefault="00000000">
      <w:pPr>
        <w:pStyle w:val="Titolo"/>
      </w:pPr>
      <w:r>
        <w:t>Testo email</w:t>
      </w:r>
    </w:p>
    <w:p w:rsidR="00142CA2" w:rsidRDefault="00000000">
      <w:pPr>
        <w:pStyle w:val="Sottotitolo"/>
      </w:pPr>
      <w:bookmarkStart w:id="0" w:name="_iewde2808mr6"/>
      <w:bookmarkEnd w:id="0"/>
      <w:r>
        <w:t>Un viaggio di in-formazione gratuito per conoscere tutto ciò che c’è da sapere sulle vaccinazioni pediatriche</w:t>
      </w:r>
    </w:p>
    <w:p w:rsidR="00142CA2" w:rsidRDefault="00000000">
      <w:r>
        <w:t>Non è troppo presto per fare i vaccini a bimbi così piccoli? Non sono troppi questi vaccini? Sono davvero così sicuri? Chi ci guadagna davvero con le vaccinazioni?</w:t>
      </w:r>
    </w:p>
    <w:p w:rsidR="00142CA2" w:rsidRDefault="00000000">
      <w:r>
        <w:t>A quanti sarà capitato di porsi almeno una di queste domande? Genitori, futuri genitori, nonni, cittadini curiosi: quando si tratta della salute dei bambini, è giusto voler capire bene. Il problema è che trovare risposte chiare e affidabili non è sempre facile, soprattutto online, dove sui vaccini si legge davvero di tutto e di più.</w:t>
      </w:r>
    </w:p>
    <w:p w:rsidR="00142CA2" w:rsidRDefault="00000000">
      <w:r>
        <w:t xml:space="preserve">Per questo motivo è nato, nell’ambito del progetto </w:t>
      </w:r>
      <w:proofErr w:type="spellStart"/>
      <w:r>
        <w:t>COSIsiFA</w:t>
      </w:r>
      <w:proofErr w:type="spellEnd"/>
      <w:r>
        <w:t xml:space="preserve"> (Cittadini e Operatori </w:t>
      </w:r>
      <w:proofErr w:type="spellStart"/>
      <w:r>
        <w:t>SanItari</w:t>
      </w:r>
      <w:proofErr w:type="spellEnd"/>
      <w:r>
        <w:t xml:space="preserve"> sempre in-formati sul Farmaco), promosso e finanziato dall’Agenzia Italiana del Farmaco (AIFA), con il coinvolgimento di 60 Centri in tutte le Regioni italiane, un </w:t>
      </w:r>
      <w:hyperlink r:id="rId7">
        <w:r>
          <w:rPr>
            <w:rStyle w:val="Collegamentoipertestuale"/>
          </w:rPr>
          <w:t>viaggio di</w:t>
        </w:r>
        <w:r>
          <w:rPr>
            <w:rStyle w:val="Collegamentoipertestuale"/>
          </w:rPr>
          <w:t xml:space="preserve"> </w:t>
        </w:r>
        <w:r>
          <w:rPr>
            <w:rStyle w:val="Collegamentoipertestuale"/>
          </w:rPr>
          <w:t>in-formazione dedicato al le vaccinazioni in età pediatrica</w:t>
        </w:r>
      </w:hyperlink>
      <w:r>
        <w:t>.</w:t>
      </w:r>
    </w:p>
    <w:p w:rsidR="00142CA2" w:rsidRDefault="00000000">
      <w:r>
        <w:t>Il viaggio è aperto a tutti. Ogni tappa offre informazioni scientificamente affidabili spiegate in modo semplice, per poter fare scelte consapevoli sulla salute di bambine e bambini.</w:t>
      </w:r>
    </w:p>
    <w:p w:rsidR="00142CA2" w:rsidRDefault="00000000">
      <w:pPr>
        <w:pStyle w:val="Titolo2"/>
      </w:pPr>
      <w:r>
        <w:t>Le tappe del viaggio nel mondo dei vaccini</w:t>
      </w:r>
    </w:p>
    <w:p w:rsidR="00142CA2" w:rsidRDefault="00000000">
      <w:r>
        <w:t>Il percorso approfondisce il tema delle vaccinazioni e spiega perché sono fondamentali non solo per la protezione individuale di bambini e bambine, ma anche per la salute dell’intera comunità. Tra le tappe previste:</w:t>
      </w:r>
    </w:p>
    <w:p w:rsidR="00142CA2" w:rsidRDefault="00000000">
      <w:pPr>
        <w:pStyle w:val="Paragrafoelenco"/>
        <w:numPr>
          <w:ilvl w:val="0"/>
          <w:numId w:val="1"/>
        </w:numPr>
      </w:pPr>
      <w:r>
        <w:t>l’importanza delle vaccinazioni e dei richiami vaccinali e il loro ruolo nella protezione a lungo termine</w:t>
      </w:r>
    </w:p>
    <w:p w:rsidR="00142CA2" w:rsidRDefault="00000000">
      <w:pPr>
        <w:pStyle w:val="Paragrafoelenco"/>
        <w:numPr>
          <w:ilvl w:val="0"/>
          <w:numId w:val="1"/>
        </w:numPr>
      </w:pPr>
      <w:r>
        <w:t>i diversi tipi di vaccini disponibili e le loro caratteristiche</w:t>
      </w:r>
    </w:p>
    <w:p w:rsidR="00142CA2" w:rsidRDefault="00000000">
      <w:pPr>
        <w:pStyle w:val="Paragrafoelenco"/>
        <w:numPr>
          <w:ilvl w:val="0"/>
          <w:numId w:val="1"/>
        </w:numPr>
      </w:pPr>
      <w:r>
        <w:t>il calendario vaccinale nazionale e perché è importante rispettarlo</w:t>
      </w:r>
    </w:p>
    <w:p w:rsidR="00142CA2" w:rsidRDefault="00000000">
      <w:pPr>
        <w:pStyle w:val="Paragrafoelenco"/>
        <w:numPr>
          <w:ilvl w:val="0"/>
          <w:numId w:val="1"/>
        </w:numPr>
      </w:pPr>
      <w:r>
        <w:t>i controlli di sicurezza a cui sono sottoposti i vaccini prima della somministrazione</w:t>
      </w:r>
    </w:p>
    <w:p w:rsidR="00142CA2" w:rsidRDefault="00000000">
      <w:pPr>
        <w:pStyle w:val="Paragrafoelenco"/>
        <w:numPr>
          <w:ilvl w:val="0"/>
          <w:numId w:val="1"/>
        </w:numPr>
      </w:pPr>
      <w:r>
        <w:lastRenderedPageBreak/>
        <w:t>le controindicazioni temporanee e permanenti alla vaccinazione</w:t>
      </w:r>
    </w:p>
    <w:p w:rsidR="00142CA2" w:rsidRDefault="00000000">
      <w:pPr>
        <w:pStyle w:val="Paragrafoelenco"/>
        <w:numPr>
          <w:ilvl w:val="0"/>
          <w:numId w:val="1"/>
        </w:numPr>
      </w:pPr>
      <w:r>
        <w:t>le risposte ai dubbi più frequenti.</w:t>
      </w:r>
    </w:p>
    <w:p w:rsidR="00142CA2" w:rsidRDefault="00000000">
      <w:r>
        <w:t>Non mancano poi indicazioni su dove reperire informazioni affidabili e uno sguardo ai progressi della ricerca in ambito vaccinale.</w:t>
      </w:r>
    </w:p>
    <w:p w:rsidR="00142CA2" w:rsidRDefault="00000000" w:rsidP="00B86E1D">
      <w:pPr>
        <w:pStyle w:val="Titolo2"/>
      </w:pPr>
      <w:r>
        <w:t>Imbarcati gratuitamente</w:t>
      </w:r>
    </w:p>
    <w:p w:rsidR="00142CA2" w:rsidRDefault="00000000">
      <w:r>
        <w:t xml:space="preserve">Ora non ti resta che partire! Iscriversi è semplicissimo: basta registrarti sulla piattaforma </w:t>
      </w:r>
      <w:proofErr w:type="spellStart"/>
      <w:r>
        <w:t>Formars</w:t>
      </w:r>
      <w:proofErr w:type="spellEnd"/>
      <w:r>
        <w:t xml:space="preserve"> (</w:t>
      </w:r>
      <w:hyperlink r:id="rId8">
        <w:r>
          <w:rPr>
            <w:rStyle w:val="Collegamentoipertestuale"/>
          </w:rPr>
          <w:t>www.formars.it</w:t>
        </w:r>
      </w:hyperlink>
      <w:r>
        <w:t>) e salire a bordo del viaggio “</w:t>
      </w:r>
      <w:hyperlink r:id="rId9">
        <w:r>
          <w:rPr>
            <w:rStyle w:val="Collegamentoipertestuale"/>
          </w:rPr>
          <w:t>Vaccinare bimbi e bimbe: una scelta consapevole</w:t>
        </w:r>
      </w:hyperlink>
      <w:r>
        <w:t>”.</w:t>
      </w:r>
    </w:p>
    <w:p w:rsidR="00142CA2" w:rsidRDefault="00000000">
      <w:r>
        <w:t>Questo è il primo di una serie di viaggi in-formativi dedicati ai cittadini, pensati per offrire informazioni affidabili sui farmaci e supportare scelte consapevoli in ambito di salute.</w:t>
      </w:r>
    </w:p>
    <w:p w:rsidR="00142CA2" w:rsidRDefault="00000000">
      <w:pPr>
        <w:pStyle w:val="Titolo2"/>
      </w:pPr>
      <w:r>
        <w:t xml:space="preserve">Resta aggiornato con </w:t>
      </w:r>
      <w:proofErr w:type="spellStart"/>
      <w:r>
        <w:t>InFarmaco</w:t>
      </w:r>
      <w:proofErr w:type="spellEnd"/>
    </w:p>
    <w:p w:rsidR="00142CA2" w:rsidRDefault="00000000">
      <w:r>
        <w:t xml:space="preserve">Il progetto </w:t>
      </w:r>
      <w:proofErr w:type="spellStart"/>
      <w:r>
        <w:t>COSIsiFA</w:t>
      </w:r>
      <w:proofErr w:type="spellEnd"/>
      <w:r>
        <w:t xml:space="preserve"> offre anche aggiornamenti quotidiani su temi sanitari di grande attualità: pediatria, oncologia, antibiotico resistenza, cronicità e </w:t>
      </w:r>
      <w:proofErr w:type="spellStart"/>
      <w:r>
        <w:t>polifarmacoterapia</w:t>
      </w:r>
      <w:proofErr w:type="spellEnd"/>
      <w:r>
        <w:t>.</w:t>
      </w:r>
    </w:p>
    <w:p w:rsidR="00142CA2" w:rsidRDefault="00000000">
      <w:r>
        <w:t xml:space="preserve">Per saperne di più, visita il portale </w:t>
      </w:r>
      <w:hyperlink r:id="rId10">
        <w:proofErr w:type="spellStart"/>
        <w:r>
          <w:rPr>
            <w:rStyle w:val="Collegamentoipertestuale"/>
          </w:rPr>
          <w:t>InFarmaco</w:t>
        </w:r>
        <w:proofErr w:type="spellEnd"/>
      </w:hyperlink>
      <w:r>
        <w:t xml:space="preserve"> e iscriviti alla newsletter settimanale per ricevere gli aggiornamenti direttamente nella tua casella email.</w:t>
      </w:r>
    </w:p>
    <w:sectPr w:rsidR="00142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566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03D9" w:rsidRDefault="004503D9">
      <w:pPr>
        <w:spacing w:after="0" w:line="240" w:lineRule="auto"/>
      </w:pPr>
      <w:r>
        <w:separator/>
      </w:r>
    </w:p>
  </w:endnote>
  <w:endnote w:type="continuationSeparator" w:id="0">
    <w:p w:rsidR="004503D9" w:rsidRDefault="0045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CA2" w:rsidRDefault="00142CA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CA2" w:rsidRDefault="00000000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CA2" w:rsidRDefault="00000000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03D9" w:rsidRDefault="004503D9">
      <w:pPr>
        <w:spacing w:after="0" w:line="240" w:lineRule="auto"/>
      </w:pPr>
      <w:r>
        <w:separator/>
      </w:r>
    </w:p>
  </w:footnote>
  <w:footnote w:type="continuationSeparator" w:id="0">
    <w:p w:rsidR="004503D9" w:rsidRDefault="00450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CA2" w:rsidRDefault="00142C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CA2" w:rsidRDefault="00142CA2"/>
  <w:tbl>
    <w:tblPr>
      <w:tblW w:w="900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3150"/>
      <w:gridCol w:w="2850"/>
      <w:gridCol w:w="3000"/>
    </w:tblGrid>
    <w:tr w:rsidR="00142CA2">
      <w:tc>
        <w:tcPr>
          <w:tcW w:w="3150" w:type="dxa"/>
        </w:tcPr>
        <w:p w:rsidR="00142CA2" w:rsidRDefault="00000000">
          <w:pPr>
            <w:widowControl w:val="0"/>
            <w:shd w:val="clear" w:color="auto" w:fill="auto"/>
            <w:spacing w:after="0" w:line="240" w:lineRule="auto"/>
            <w:jc w:val="left"/>
          </w:pPr>
          <w:r>
            <w:rPr>
              <w:noProof/>
            </w:rPr>
            <w:drawing>
              <wp:inline distT="0" distB="0" distL="0" distR="0">
                <wp:extent cx="1771650" cy="558800"/>
                <wp:effectExtent l="0" t="0" r="0" b="0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1650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0" w:type="dxa"/>
        </w:tcPr>
        <w:p w:rsidR="00142CA2" w:rsidRDefault="00142CA2">
          <w:pPr>
            <w:widowControl w:val="0"/>
            <w:shd w:val="clear" w:color="auto" w:fill="auto"/>
            <w:spacing w:after="0" w:line="240" w:lineRule="auto"/>
            <w:jc w:val="left"/>
          </w:pPr>
        </w:p>
      </w:tc>
      <w:tc>
        <w:tcPr>
          <w:tcW w:w="3000" w:type="dxa"/>
        </w:tcPr>
        <w:p w:rsidR="00142CA2" w:rsidRDefault="00142CA2">
          <w:pPr>
            <w:widowControl w:val="0"/>
            <w:shd w:val="clear" w:color="auto" w:fill="auto"/>
            <w:spacing w:after="0" w:line="240" w:lineRule="auto"/>
            <w:jc w:val="left"/>
          </w:pPr>
        </w:p>
        <w:p w:rsidR="00142CA2" w:rsidRDefault="00000000">
          <w:pPr>
            <w:widowControl w:val="0"/>
            <w:shd w:val="clear" w:color="auto" w:fill="auto"/>
            <w:spacing w:after="0" w:line="240" w:lineRule="auto"/>
            <w:jc w:val="right"/>
          </w:pPr>
          <w:r>
            <w:rPr>
              <w:noProof/>
            </w:rPr>
            <w:drawing>
              <wp:inline distT="0" distB="0" distL="0" distR="0">
                <wp:extent cx="1061720" cy="203835"/>
                <wp:effectExtent l="0" t="0" r="0" b="0"/>
                <wp:docPr id="2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2038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142CA2" w:rsidRDefault="00142CA2"/>
  <w:p w:rsidR="00142CA2" w:rsidRDefault="00142CA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CA2" w:rsidRDefault="00142CA2"/>
  <w:tbl>
    <w:tblPr>
      <w:tblW w:w="900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3150"/>
      <w:gridCol w:w="2850"/>
      <w:gridCol w:w="3000"/>
    </w:tblGrid>
    <w:tr w:rsidR="00142CA2">
      <w:tc>
        <w:tcPr>
          <w:tcW w:w="3150" w:type="dxa"/>
        </w:tcPr>
        <w:p w:rsidR="00142CA2" w:rsidRDefault="00000000">
          <w:pPr>
            <w:widowControl w:val="0"/>
            <w:shd w:val="clear" w:color="auto" w:fill="auto"/>
            <w:spacing w:after="0" w:line="240" w:lineRule="auto"/>
            <w:jc w:val="left"/>
          </w:pPr>
          <w:r>
            <w:rPr>
              <w:noProof/>
            </w:rPr>
            <w:drawing>
              <wp:inline distT="0" distB="0" distL="0" distR="0">
                <wp:extent cx="1771650" cy="558800"/>
                <wp:effectExtent l="0" t="0" r="0" b="0"/>
                <wp:docPr id="3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1650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0" w:type="dxa"/>
        </w:tcPr>
        <w:p w:rsidR="00142CA2" w:rsidRDefault="00142CA2">
          <w:pPr>
            <w:widowControl w:val="0"/>
            <w:shd w:val="clear" w:color="auto" w:fill="auto"/>
            <w:spacing w:after="0" w:line="240" w:lineRule="auto"/>
            <w:jc w:val="left"/>
          </w:pPr>
        </w:p>
      </w:tc>
      <w:tc>
        <w:tcPr>
          <w:tcW w:w="3000" w:type="dxa"/>
        </w:tcPr>
        <w:p w:rsidR="00142CA2" w:rsidRDefault="00142CA2">
          <w:pPr>
            <w:widowControl w:val="0"/>
            <w:shd w:val="clear" w:color="auto" w:fill="auto"/>
            <w:spacing w:after="0" w:line="240" w:lineRule="auto"/>
            <w:jc w:val="left"/>
          </w:pPr>
        </w:p>
        <w:p w:rsidR="00142CA2" w:rsidRDefault="00000000">
          <w:pPr>
            <w:widowControl w:val="0"/>
            <w:shd w:val="clear" w:color="auto" w:fill="auto"/>
            <w:spacing w:after="0" w:line="240" w:lineRule="auto"/>
            <w:jc w:val="right"/>
          </w:pPr>
          <w:r>
            <w:rPr>
              <w:noProof/>
            </w:rPr>
            <w:drawing>
              <wp:inline distT="0" distB="0" distL="0" distR="0">
                <wp:extent cx="1061720" cy="203835"/>
                <wp:effectExtent l="0" t="0" r="0" b="0"/>
                <wp:docPr id="4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2038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142CA2" w:rsidRDefault="00142CA2"/>
  <w:p w:rsidR="00142CA2" w:rsidRDefault="00142C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C12BF"/>
    <w:multiLevelType w:val="multilevel"/>
    <w:tmpl w:val="457AB7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612F3D"/>
    <w:multiLevelType w:val="multilevel"/>
    <w:tmpl w:val="CF94E9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59369136">
    <w:abstractNumId w:val="0"/>
  </w:num>
  <w:num w:numId="2" w16cid:durableId="1014848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trackRevision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CA2"/>
    <w:rsid w:val="00142CA2"/>
    <w:rsid w:val="004503D9"/>
    <w:rsid w:val="00B86E1D"/>
    <w:rsid w:val="00D8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C1FE3F61-87F9-124B-BFFB-7DC8A6F9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434343"/>
        <w:sz w:val="23"/>
        <w:szCs w:val="23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hd w:val="clear" w:color="auto" w:fill="FFFFFF"/>
      <w:spacing w:after="220" w:line="312" w:lineRule="auto"/>
      <w:jc w:val="both"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line="240" w:lineRule="auto"/>
      <w:jc w:val="left"/>
      <w:outlineLvl w:val="0"/>
    </w:pPr>
    <w:rPr>
      <w:b/>
      <w:color w:val="203467"/>
      <w:sz w:val="34"/>
      <w:szCs w:val="3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line="240" w:lineRule="auto"/>
      <w:outlineLvl w:val="1"/>
    </w:pPr>
    <w:rPr>
      <w:b/>
      <w:color w:val="203467"/>
      <w:sz w:val="30"/>
      <w:szCs w:val="30"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keepLines/>
      <w:outlineLvl w:val="2"/>
    </w:pPr>
    <w:rPr>
      <w:b/>
      <w:color w:val="203467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line="240" w:lineRule="auto"/>
      <w:outlineLvl w:val="3"/>
    </w:pPr>
    <w:rPr>
      <w:b/>
      <w:color w:val="203467"/>
      <w:sz w:val="20"/>
      <w:szCs w:val="20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275CA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0275C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qFormat/>
    <w:rsid w:val="006E2B91"/>
  </w:style>
  <w:style w:type="character" w:styleId="Enfasigrassetto">
    <w:name w:val="Strong"/>
    <w:basedOn w:val="Carpredefinitoparagrafo"/>
    <w:uiPriority w:val="22"/>
    <w:qFormat/>
    <w:rsid w:val="006E2B9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45BF"/>
    <w:rPr>
      <w:color w:val="800080" w:themeColor="followedHyperlink"/>
      <w:u w:val="single"/>
    </w:rPr>
  </w:style>
  <w:style w:type="character" w:styleId="Numeroriga">
    <w:name w:val="line number"/>
  </w:style>
  <w:style w:type="paragraph" w:styleId="Titolo">
    <w:name w:val="Title"/>
    <w:basedOn w:val="Normale"/>
    <w:next w:val="Corpotesto"/>
    <w:uiPriority w:val="10"/>
    <w:qFormat/>
    <w:pPr>
      <w:keepNext/>
      <w:keepLines/>
      <w:jc w:val="center"/>
    </w:pPr>
    <w:rPr>
      <w:b/>
      <w:color w:val="203467"/>
      <w:sz w:val="40"/>
      <w:szCs w:val="40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ascii="Georgia" w:hAnsi="Georgia"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Georgia" w:hAnsi="Georgia"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ascii="Georgia" w:hAnsi="Georgia" w:cs="Arial Unicode M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line="480" w:lineRule="auto"/>
      <w:jc w:val="center"/>
    </w:pPr>
    <w:rPr>
      <w:b/>
      <w:color w:val="203467"/>
      <w:sz w:val="34"/>
      <w:szCs w:val="34"/>
    </w:rPr>
  </w:style>
  <w:style w:type="paragraph" w:customStyle="1" w:styleId="isselectedend">
    <w:name w:val="isselectedend"/>
    <w:basedOn w:val="Normale"/>
    <w:qFormat/>
    <w:rsid w:val="006E2B91"/>
    <w:pPr>
      <w:shd w:val="clear" w:color="auto" w:fill="auto"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6E2B91"/>
    <w:pPr>
      <w:shd w:val="clear" w:color="auto" w:fill="auto"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445BF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B86E1D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mars.it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ormars.it/corso/cittadino/vaccinare-bimbi-bimbe-una-scelta-consapevol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infarmaco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ormars.it/corso/cittadino/vaccinare-bimbi-bimbe-una-scelta-consapevol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Silvia Emendi</cp:lastModifiedBy>
  <cp:revision>12</cp:revision>
  <dcterms:created xsi:type="dcterms:W3CDTF">2026-01-11T11:54:00Z</dcterms:created>
  <dcterms:modified xsi:type="dcterms:W3CDTF">2026-02-02T23:08:00Z</dcterms:modified>
  <dc:language>it-IT</dc:language>
</cp:coreProperties>
</file>