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46BE8" w:rsidRDefault="00000000">
      <w:pPr>
        <w:pStyle w:val="Titolo"/>
      </w:pPr>
      <w:r>
        <w:t>Articolo</w:t>
      </w:r>
    </w:p>
    <w:p w:rsidR="00146BE8" w:rsidRDefault="00000000">
      <w:pPr>
        <w:pStyle w:val="Sottotitolo"/>
      </w:pPr>
      <w:bookmarkStart w:id="0" w:name="_iewde2808mr6"/>
      <w:bookmarkEnd w:id="0"/>
      <w:r>
        <w:t xml:space="preserve">Vaccinazioni nei bambini: un viaggio di in-formazione gratuito per chiunque voglia saperne di più </w:t>
      </w:r>
    </w:p>
    <w:p w:rsidR="00146BE8" w:rsidRDefault="00000000">
      <w:r>
        <w:t>Quando si parla di vaccini le reazioni sono le più varie. C’è chi accoglie il tema con apertura, chi con diffidenza. E c’è una vasta zona grigia, fatta di coloro che, pur non rifiutando le vaccinazioni, portano dentro domande mai del tutto risolte. Dubbi legittimi, che spesso si amplificano proprio quando si tratta di vaccinare i più piccoli: seguire il calendario vaccinale è davvero necessario? I vaccini sono sicuri in bambini così piccoli? E dove trovare risposte affidabili in mezzo al mare di informazioni (e disinformazioni) che inonda il web?</w:t>
      </w:r>
    </w:p>
    <w:p w:rsidR="00146BE8" w:rsidRDefault="00000000">
      <w:r>
        <w:t>Nasce da qui “</w:t>
      </w:r>
      <w:hyperlink r:id="rId6">
        <w:r>
          <w:rPr>
            <w:rStyle w:val="Collegamentoipertestuale"/>
          </w:rPr>
          <w:t>Vaccinare bimbi e bimbe: una scelta consapevole</w:t>
        </w:r>
      </w:hyperlink>
      <w:r>
        <w:t>”, un viaggio di in-formazione virtuale completamente gratuito che accompagna genitori, nonni, futuri genitori e chiunque voglia approfondire il tema delle vaccinazioni pediatriche, offrendo un punto di riferimento scientifico, chiaro e indipendente.</w:t>
      </w:r>
    </w:p>
    <w:p w:rsidR="00146BE8" w:rsidRDefault="00000000">
      <w:pPr>
        <w:pStyle w:val="Titolo2"/>
      </w:pPr>
      <w:r>
        <w:t>Un viaggio aperto a tutti</w:t>
      </w:r>
    </w:p>
    <w:p w:rsidR="00146BE8" w:rsidRDefault="00000000">
      <w:r>
        <w:t>Non servono competenze specifiche per partecipare. Il viaggio è pensato proprio per tutti, soprattutto i non addetti ai lavori: mamme e papà alle prese con le prime vaccinazioni, coppie che si preparano alla genitorialità, nonni che vogliono capire meglio per sostenere i propri figli, o semplicemente persone curiose che desiderano informarsi correttamente.</w:t>
      </w:r>
    </w:p>
    <w:p w:rsidR="00146BE8" w:rsidRDefault="00000000">
      <w:r>
        <w:t>Il linguaggio usato è accessibile, ma il rigore è quello della scienza: ogni tappa del viaggio offre informazioni valide e strumenti concreti per orientarsi con sicurezza tra le molte voci che circolano sui vaccini.</w:t>
      </w:r>
    </w:p>
    <w:p w:rsidR="00146BE8" w:rsidRDefault="00000000">
      <w:pPr>
        <w:pStyle w:val="Titolo2"/>
      </w:pPr>
      <w:r>
        <w:t>Le tappe del percorso</w:t>
      </w:r>
    </w:p>
    <w:p w:rsidR="00146BE8" w:rsidRDefault="00000000">
      <w:r>
        <w:t>Il percorso in sette tappe tocca tutti gli aspetti essenziali delle vaccinazioni pediatriche, passo dopo passo.</w:t>
      </w:r>
    </w:p>
    <w:p w:rsidR="00146BE8" w:rsidRDefault="00000000">
      <w:r>
        <w:lastRenderedPageBreak/>
        <w:t>Si parte dalle basi: che cosa sono i vaccini, come proteggono il singolo bambino e l’intera comunità, quali tipologie di vaccini esistono e come si differenziano. Viene spiegato il calendario vaccinale nazionale e perché i richiami sono fondamentali per mantenere l’immunità nel tempo.</w:t>
      </w:r>
    </w:p>
    <w:p w:rsidR="00146BE8" w:rsidRDefault="00000000">
      <w:r>
        <w:t>Seguono poi le risposte alle domande che più preoccupano: quali controlli attraversa un vaccino prima di essere autorizzato? E dopo? Quali sono le vere controindicazioni alla vaccinazione?</w:t>
      </w:r>
    </w:p>
    <w:p w:rsidR="00146BE8" w:rsidRDefault="00000000">
      <w:r>
        <w:t>Il viaggio si conclude fornendo indicazioni su dove trovare informazioni attendibili e aggiornate sui vaccini e uno sguardo alle novità della ricerca scientifica nel campo vaccinale.</w:t>
      </w:r>
    </w:p>
    <w:p w:rsidR="00146BE8" w:rsidRDefault="00000000">
      <w:pPr>
        <w:pStyle w:val="Titolo2"/>
      </w:pPr>
      <w:r>
        <w:t>Come imbarcarsi</w:t>
      </w:r>
    </w:p>
    <w:p w:rsidR="00146BE8" w:rsidRDefault="00000000">
      <w:r>
        <w:t xml:space="preserve">Partecipare è semplicissimo, oltre che gratuito: basta registrarsi sulla piattaforma </w:t>
      </w:r>
      <w:proofErr w:type="spellStart"/>
      <w:r>
        <w:t>Formars</w:t>
      </w:r>
      <w:proofErr w:type="spellEnd"/>
      <w:r>
        <w:t xml:space="preserve"> (</w:t>
      </w:r>
      <w:hyperlink r:id="rId7">
        <w:r>
          <w:rPr>
            <w:rStyle w:val="Collegamentoipertestuale"/>
          </w:rPr>
          <w:t>www.formars.it</w:t>
        </w:r>
      </w:hyperlink>
      <w:r>
        <w:t>) e iscriversi al viaggio “</w:t>
      </w:r>
      <w:hyperlink r:id="rId8">
        <w:r>
          <w:rPr>
            <w:rStyle w:val="Collegamentoipertestuale"/>
          </w:rPr>
          <w:t>Vaccinare bimbi e bimbe: una scelta consapevole</w:t>
        </w:r>
      </w:hyperlink>
      <w:r>
        <w:t>”.</w:t>
      </w:r>
    </w:p>
    <w:p w:rsidR="00146BE8" w:rsidRDefault="00000000">
      <w:r>
        <w:t>Il viaggio è completamente online e libero: ognuno può percorrere le varie tappe quando e come preferisce, seguendo i propri tempi e i propri interessi. Al termine del viaggio si potrà avere direttamente sulla piattaforma un attestato di partecipazione.</w:t>
      </w:r>
    </w:p>
    <w:p w:rsidR="00146BE8" w:rsidRDefault="00000000">
      <w:pPr>
        <w:pStyle w:val="Titolo2"/>
      </w:pPr>
      <w:r>
        <w:t>Il primo viaggio di una lunga serie</w:t>
      </w:r>
    </w:p>
    <w:p w:rsidR="00146BE8" w:rsidRDefault="00000000">
      <w:r>
        <w:t xml:space="preserve">Questo percorso nasce nell’ambito del progetto </w:t>
      </w:r>
      <w:proofErr w:type="spellStart"/>
      <w:r>
        <w:t>COSIsiFA</w:t>
      </w:r>
      <w:proofErr w:type="spellEnd"/>
      <w:r>
        <w:t xml:space="preserve">, promosso e finanziato dall'Agenzia Italiana del Farmaco (AIFA), che coinvolge 60 Centri distribuiti in tutte le Regioni italiane. L’obiettivo del progetto è fare informazione e formazione indipendente sul farmaco, con particolare attenzione a quattro ambiti prioritari di salute pubblica: pediatria, oncologia, antibiotico resistenza, cronicità e </w:t>
      </w:r>
      <w:proofErr w:type="spellStart"/>
      <w:r>
        <w:t>polifarmacoterapia</w:t>
      </w:r>
      <w:proofErr w:type="spellEnd"/>
      <w:r>
        <w:t>.</w:t>
      </w:r>
    </w:p>
    <w:p w:rsidR="00146BE8" w:rsidRDefault="00000000">
      <w:r>
        <w:t xml:space="preserve">E questo è solo l’inizio: </w:t>
      </w:r>
      <w:proofErr w:type="spellStart"/>
      <w:r>
        <w:t>COSIsiFA</w:t>
      </w:r>
      <w:proofErr w:type="spellEnd"/>
      <w:r>
        <w:t xml:space="preserve"> organizzerà altri viaggi in-formativi sui temi della salute e del farmaco, sempre gratuiti e sempre basati sulle prove scientifiche e sull’indipendenza.</w:t>
      </w:r>
    </w:p>
    <w:p w:rsidR="00146BE8" w:rsidRDefault="00000000">
      <w:pPr>
        <w:pStyle w:val="Titolo2"/>
      </w:pPr>
      <w:r>
        <w:t xml:space="preserve">Il portale </w:t>
      </w:r>
      <w:proofErr w:type="spellStart"/>
      <w:r>
        <w:t>InFarmaco</w:t>
      </w:r>
      <w:proofErr w:type="spellEnd"/>
    </w:p>
    <w:p w:rsidR="00146BE8" w:rsidRDefault="00000000">
      <w:r>
        <w:t xml:space="preserve">Oltre ai viaggi in-formativi, il progetto </w:t>
      </w:r>
      <w:proofErr w:type="spellStart"/>
      <w:r>
        <w:t>COSIsiFA</w:t>
      </w:r>
      <w:proofErr w:type="spellEnd"/>
      <w:r>
        <w:t xml:space="preserve"> gestisce il portale </w:t>
      </w:r>
      <w:hyperlink r:id="rId9">
        <w:proofErr w:type="spellStart"/>
        <w:r>
          <w:rPr>
            <w:rStyle w:val="Collegamentoipertestuale"/>
          </w:rPr>
          <w:t>InFarmaco</w:t>
        </w:r>
        <w:proofErr w:type="spellEnd"/>
      </w:hyperlink>
      <w:r>
        <w:t>, dove ogni giorno vengono pubblicati aggiornamenti sui farmaci, novità dalla ricerca scientifica e approfondimenti dedicati ai quattro ambiti del progetto.</w:t>
      </w:r>
    </w:p>
    <w:p w:rsidR="00146BE8" w:rsidRDefault="00000000">
      <w:r>
        <w:lastRenderedPageBreak/>
        <w:t>Chi desidera rimanere sempre aggiornato può iscriversi alla newsletter settimanale e ricevere comodamente le novità via email.</w:t>
      </w:r>
    </w:p>
    <w:p w:rsidR="00146BE8" w:rsidRDefault="00000000">
      <w:r>
        <w:t>In un momento in cui le informazioni sulla salute viaggiano rapidamente ma non sempre in modo accurato, poter contare su fonti affidabili e indipendenti diventa cruciale. Quindi che cosa aspetti a imbarcarti?</w:t>
      </w:r>
    </w:p>
    <w:sectPr w:rsidR="00146BE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566" w:footer="566"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8A3" w:rsidRDefault="009948A3">
      <w:pPr>
        <w:spacing w:after="0" w:line="240" w:lineRule="auto"/>
      </w:pPr>
      <w:r>
        <w:separator/>
      </w:r>
    </w:p>
  </w:endnote>
  <w:endnote w:type="continuationSeparator" w:id="0">
    <w:p w:rsidR="009948A3" w:rsidRDefault="00994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146BE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000000">
    <w:pPr>
      <w:jc w:val="right"/>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000000">
    <w:pPr>
      <w:jc w:val="right"/>
    </w:pP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8A3" w:rsidRDefault="009948A3">
      <w:pPr>
        <w:spacing w:after="0" w:line="240" w:lineRule="auto"/>
      </w:pPr>
      <w:r>
        <w:separator/>
      </w:r>
    </w:p>
  </w:footnote>
  <w:footnote w:type="continuationSeparator" w:id="0">
    <w:p w:rsidR="009948A3" w:rsidRDefault="00994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146BE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146BE8"/>
  <w:tbl>
    <w:tblPr>
      <w:tblW w:w="9000" w:type="dxa"/>
      <w:tblLayout w:type="fixed"/>
      <w:tblCellMar>
        <w:top w:w="100" w:type="dxa"/>
        <w:left w:w="100" w:type="dxa"/>
        <w:bottom w:w="100" w:type="dxa"/>
        <w:right w:w="100" w:type="dxa"/>
      </w:tblCellMar>
      <w:tblLook w:val="0600" w:firstRow="0" w:lastRow="0" w:firstColumn="0" w:lastColumn="0" w:noHBand="1" w:noVBand="1"/>
    </w:tblPr>
    <w:tblGrid>
      <w:gridCol w:w="3150"/>
      <w:gridCol w:w="2850"/>
      <w:gridCol w:w="3000"/>
    </w:tblGrid>
    <w:tr w:rsidR="00146BE8">
      <w:tc>
        <w:tcPr>
          <w:tcW w:w="3150" w:type="dxa"/>
        </w:tcPr>
        <w:p w:rsidR="00146BE8" w:rsidRDefault="00000000">
          <w:pPr>
            <w:widowControl w:val="0"/>
            <w:shd w:val="clear" w:color="auto" w:fill="auto"/>
            <w:spacing w:after="0" w:line="240" w:lineRule="auto"/>
            <w:jc w:val="left"/>
          </w:pPr>
          <w:r>
            <w:rPr>
              <w:noProof/>
            </w:rPr>
            <w:drawing>
              <wp:inline distT="0" distB="0" distL="0" distR="0">
                <wp:extent cx="1771650" cy="5588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771650" cy="558800"/>
                        </a:xfrm>
                        <a:prstGeom prst="rect">
                          <a:avLst/>
                        </a:prstGeom>
                        <a:noFill/>
                      </pic:spPr>
                    </pic:pic>
                  </a:graphicData>
                </a:graphic>
              </wp:inline>
            </w:drawing>
          </w:r>
        </w:p>
      </w:tc>
      <w:tc>
        <w:tcPr>
          <w:tcW w:w="2850" w:type="dxa"/>
        </w:tcPr>
        <w:p w:rsidR="00146BE8" w:rsidRDefault="00146BE8">
          <w:pPr>
            <w:widowControl w:val="0"/>
            <w:shd w:val="clear" w:color="auto" w:fill="auto"/>
            <w:spacing w:after="0" w:line="240" w:lineRule="auto"/>
            <w:jc w:val="left"/>
          </w:pPr>
        </w:p>
      </w:tc>
      <w:tc>
        <w:tcPr>
          <w:tcW w:w="3000" w:type="dxa"/>
        </w:tcPr>
        <w:p w:rsidR="00146BE8" w:rsidRDefault="00146BE8">
          <w:pPr>
            <w:widowControl w:val="0"/>
            <w:shd w:val="clear" w:color="auto" w:fill="auto"/>
            <w:spacing w:after="0" w:line="240" w:lineRule="auto"/>
            <w:jc w:val="left"/>
          </w:pPr>
        </w:p>
        <w:p w:rsidR="00146BE8" w:rsidRDefault="00000000">
          <w:pPr>
            <w:widowControl w:val="0"/>
            <w:shd w:val="clear" w:color="auto" w:fill="auto"/>
            <w:spacing w:after="0" w:line="240" w:lineRule="auto"/>
            <w:jc w:val="right"/>
          </w:pPr>
          <w:r>
            <w:rPr>
              <w:noProof/>
            </w:rPr>
            <w:drawing>
              <wp:inline distT="0" distB="0" distL="0" distR="0">
                <wp:extent cx="1061720" cy="203835"/>
                <wp:effectExtent l="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a:picLocks noChangeAspect="1" noChangeArrowheads="1"/>
                        </pic:cNvPicPr>
                      </pic:nvPicPr>
                      <pic:blipFill>
                        <a:blip r:embed="rId2"/>
                        <a:stretch>
                          <a:fillRect/>
                        </a:stretch>
                      </pic:blipFill>
                      <pic:spPr bwMode="auto">
                        <a:xfrm>
                          <a:off x="0" y="0"/>
                          <a:ext cx="1061720" cy="203835"/>
                        </a:xfrm>
                        <a:prstGeom prst="rect">
                          <a:avLst/>
                        </a:prstGeom>
                        <a:noFill/>
                      </pic:spPr>
                    </pic:pic>
                  </a:graphicData>
                </a:graphic>
              </wp:inline>
            </w:drawing>
          </w:r>
        </w:p>
      </w:tc>
    </w:tr>
  </w:tbl>
  <w:p w:rsidR="00146BE8" w:rsidRDefault="00146BE8"/>
  <w:p w:rsidR="00146BE8" w:rsidRDefault="00146B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BE8" w:rsidRDefault="00146BE8"/>
  <w:tbl>
    <w:tblPr>
      <w:tblW w:w="9000" w:type="dxa"/>
      <w:tblLayout w:type="fixed"/>
      <w:tblCellMar>
        <w:top w:w="100" w:type="dxa"/>
        <w:left w:w="100" w:type="dxa"/>
        <w:bottom w:w="100" w:type="dxa"/>
        <w:right w:w="100" w:type="dxa"/>
      </w:tblCellMar>
      <w:tblLook w:val="0600" w:firstRow="0" w:lastRow="0" w:firstColumn="0" w:lastColumn="0" w:noHBand="1" w:noVBand="1"/>
    </w:tblPr>
    <w:tblGrid>
      <w:gridCol w:w="3150"/>
      <w:gridCol w:w="2850"/>
      <w:gridCol w:w="3000"/>
    </w:tblGrid>
    <w:tr w:rsidR="00146BE8">
      <w:tc>
        <w:tcPr>
          <w:tcW w:w="3150" w:type="dxa"/>
        </w:tcPr>
        <w:p w:rsidR="00146BE8" w:rsidRDefault="00000000">
          <w:pPr>
            <w:widowControl w:val="0"/>
            <w:shd w:val="clear" w:color="auto" w:fill="auto"/>
            <w:spacing w:after="0" w:line="240" w:lineRule="auto"/>
            <w:jc w:val="left"/>
          </w:pPr>
          <w:r>
            <w:rPr>
              <w:noProof/>
            </w:rPr>
            <w:drawing>
              <wp:inline distT="0" distB="0" distL="0" distR="0">
                <wp:extent cx="1771650" cy="55880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1771650" cy="558800"/>
                        </a:xfrm>
                        <a:prstGeom prst="rect">
                          <a:avLst/>
                        </a:prstGeom>
                        <a:noFill/>
                      </pic:spPr>
                    </pic:pic>
                  </a:graphicData>
                </a:graphic>
              </wp:inline>
            </w:drawing>
          </w:r>
        </w:p>
      </w:tc>
      <w:tc>
        <w:tcPr>
          <w:tcW w:w="2850" w:type="dxa"/>
        </w:tcPr>
        <w:p w:rsidR="00146BE8" w:rsidRDefault="00146BE8">
          <w:pPr>
            <w:widowControl w:val="0"/>
            <w:shd w:val="clear" w:color="auto" w:fill="auto"/>
            <w:spacing w:after="0" w:line="240" w:lineRule="auto"/>
            <w:jc w:val="left"/>
          </w:pPr>
        </w:p>
      </w:tc>
      <w:tc>
        <w:tcPr>
          <w:tcW w:w="3000" w:type="dxa"/>
        </w:tcPr>
        <w:p w:rsidR="00146BE8" w:rsidRDefault="00146BE8">
          <w:pPr>
            <w:widowControl w:val="0"/>
            <w:shd w:val="clear" w:color="auto" w:fill="auto"/>
            <w:spacing w:after="0" w:line="240" w:lineRule="auto"/>
            <w:jc w:val="left"/>
          </w:pPr>
        </w:p>
        <w:p w:rsidR="00146BE8" w:rsidRDefault="00000000">
          <w:pPr>
            <w:widowControl w:val="0"/>
            <w:shd w:val="clear" w:color="auto" w:fill="auto"/>
            <w:spacing w:after="0" w:line="240" w:lineRule="auto"/>
            <w:jc w:val="right"/>
          </w:pPr>
          <w:r>
            <w:rPr>
              <w:noProof/>
            </w:rPr>
            <w:drawing>
              <wp:inline distT="0" distB="0" distL="0" distR="0">
                <wp:extent cx="1061720" cy="203835"/>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a:picLocks noChangeAspect="1" noChangeArrowheads="1"/>
                        </pic:cNvPicPr>
                      </pic:nvPicPr>
                      <pic:blipFill>
                        <a:blip r:embed="rId2"/>
                        <a:stretch>
                          <a:fillRect/>
                        </a:stretch>
                      </pic:blipFill>
                      <pic:spPr bwMode="auto">
                        <a:xfrm>
                          <a:off x="0" y="0"/>
                          <a:ext cx="1061720" cy="203835"/>
                        </a:xfrm>
                        <a:prstGeom prst="rect">
                          <a:avLst/>
                        </a:prstGeom>
                        <a:noFill/>
                      </pic:spPr>
                    </pic:pic>
                  </a:graphicData>
                </a:graphic>
              </wp:inline>
            </w:drawing>
          </w:r>
        </w:p>
      </w:tc>
    </w:tr>
  </w:tbl>
  <w:p w:rsidR="00146BE8" w:rsidRDefault="00146BE8"/>
  <w:p w:rsidR="00146BE8" w:rsidRDefault="00146B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trackRevisions/>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BE8"/>
    <w:rsid w:val="00146BE8"/>
    <w:rsid w:val="009948A3"/>
    <w:rsid w:val="00D87899"/>
    <w:rsid w:val="00DA61E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decimalSymbol w:val=","/>
  <w:listSeparator w:val=";"/>
  <w15:docId w15:val="{C1FE3F61-87F9-124B-BFFB-7DC8A6F92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434343"/>
        <w:sz w:val="23"/>
        <w:szCs w:val="23"/>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hd w:val="clear" w:color="auto" w:fill="FFFFFF"/>
      <w:spacing w:after="220" w:line="312" w:lineRule="auto"/>
      <w:jc w:val="both"/>
    </w:pPr>
  </w:style>
  <w:style w:type="paragraph" w:styleId="Titolo1">
    <w:name w:val="heading 1"/>
    <w:basedOn w:val="Normale"/>
    <w:next w:val="Normale"/>
    <w:uiPriority w:val="9"/>
    <w:qFormat/>
    <w:pPr>
      <w:keepNext/>
      <w:keepLines/>
      <w:spacing w:line="240" w:lineRule="auto"/>
      <w:jc w:val="left"/>
      <w:outlineLvl w:val="0"/>
    </w:pPr>
    <w:rPr>
      <w:b/>
      <w:color w:val="203467"/>
      <w:sz w:val="34"/>
      <w:szCs w:val="34"/>
    </w:rPr>
  </w:style>
  <w:style w:type="paragraph" w:styleId="Titolo2">
    <w:name w:val="heading 2"/>
    <w:basedOn w:val="Normale"/>
    <w:next w:val="Normale"/>
    <w:uiPriority w:val="9"/>
    <w:unhideWhenUsed/>
    <w:qFormat/>
    <w:pPr>
      <w:keepNext/>
      <w:keepLines/>
      <w:spacing w:line="240" w:lineRule="auto"/>
      <w:outlineLvl w:val="1"/>
    </w:pPr>
    <w:rPr>
      <w:b/>
      <w:color w:val="203467"/>
      <w:sz w:val="30"/>
      <w:szCs w:val="30"/>
    </w:rPr>
  </w:style>
  <w:style w:type="paragraph" w:styleId="Titolo3">
    <w:name w:val="heading 3"/>
    <w:basedOn w:val="Normale"/>
    <w:next w:val="Normale"/>
    <w:uiPriority w:val="9"/>
    <w:unhideWhenUsed/>
    <w:qFormat/>
    <w:pPr>
      <w:keepNext/>
      <w:keepLines/>
      <w:outlineLvl w:val="2"/>
    </w:pPr>
    <w:rPr>
      <w:b/>
      <w:color w:val="203467"/>
      <w:sz w:val="24"/>
      <w:szCs w:val="24"/>
    </w:rPr>
  </w:style>
  <w:style w:type="paragraph" w:styleId="Titolo4">
    <w:name w:val="heading 4"/>
    <w:basedOn w:val="Normale"/>
    <w:next w:val="Normale"/>
    <w:uiPriority w:val="9"/>
    <w:semiHidden/>
    <w:unhideWhenUsed/>
    <w:qFormat/>
    <w:pPr>
      <w:keepNext/>
      <w:keepLines/>
      <w:spacing w:line="240" w:lineRule="auto"/>
      <w:outlineLvl w:val="3"/>
    </w:pPr>
    <w:rPr>
      <w:b/>
      <w:color w:val="203467"/>
      <w:sz w:val="20"/>
      <w:szCs w:val="20"/>
    </w:rPr>
  </w:style>
  <w:style w:type="paragraph" w:styleId="Titolo5">
    <w:name w:val="heading 5"/>
    <w:basedOn w:val="Normale"/>
    <w:next w:val="Normale"/>
    <w:uiPriority w:val="9"/>
    <w:semiHidden/>
    <w:unhideWhenUsed/>
    <w:qFormat/>
    <w:pPr>
      <w:keepNext/>
      <w:keepLines/>
      <w:spacing w:before="240" w:after="80"/>
      <w:outlineLvl w:val="4"/>
    </w:pPr>
    <w:rPr>
      <w:color w:val="666666"/>
      <w:sz w:val="22"/>
      <w:szCs w:val="22"/>
    </w:rPr>
  </w:style>
  <w:style w:type="paragraph" w:styleId="Titolo6">
    <w:name w:val="heading 6"/>
    <w:basedOn w:val="Normale"/>
    <w:next w:val="Normale"/>
    <w:uiPriority w:val="9"/>
    <w:semiHidden/>
    <w:unhideWhenUsed/>
    <w:qFormat/>
    <w:pPr>
      <w:keepNext/>
      <w:keepLines/>
      <w:spacing w:before="240" w:after="80"/>
      <w:outlineLvl w:val="5"/>
    </w:pPr>
    <w:rPr>
      <w:i/>
      <w:color w:val="666666"/>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275CA"/>
    <w:rPr>
      <w:color w:val="0000FF"/>
      <w:u w:val="single"/>
    </w:rPr>
  </w:style>
  <w:style w:type="character" w:styleId="Menzionenonrisolta">
    <w:name w:val="Unresolved Mention"/>
    <w:basedOn w:val="Carpredefinitoparagrafo"/>
    <w:uiPriority w:val="99"/>
    <w:semiHidden/>
    <w:unhideWhenUsed/>
    <w:qFormat/>
    <w:rsid w:val="000275CA"/>
    <w:rPr>
      <w:color w:val="605E5C"/>
      <w:shd w:val="clear" w:color="auto" w:fill="E1DFDD"/>
    </w:rPr>
  </w:style>
  <w:style w:type="character" w:customStyle="1" w:styleId="apple-converted-space">
    <w:name w:val="apple-converted-space"/>
    <w:basedOn w:val="Carpredefinitoparagrafo"/>
    <w:qFormat/>
    <w:rsid w:val="006E2B91"/>
  </w:style>
  <w:style w:type="character" w:styleId="Enfasigrassetto">
    <w:name w:val="Strong"/>
    <w:basedOn w:val="Carpredefinitoparagrafo"/>
    <w:uiPriority w:val="22"/>
    <w:qFormat/>
    <w:rsid w:val="006E2B91"/>
    <w:rPr>
      <w:b/>
      <w:bCs/>
    </w:rPr>
  </w:style>
  <w:style w:type="character" w:styleId="Numeroriga">
    <w:name w:val="line number"/>
  </w:style>
  <w:style w:type="paragraph" w:styleId="Titolo">
    <w:name w:val="Title"/>
    <w:basedOn w:val="Normale"/>
    <w:next w:val="Corpotesto"/>
    <w:uiPriority w:val="10"/>
    <w:qFormat/>
    <w:pPr>
      <w:keepNext/>
      <w:keepLines/>
      <w:jc w:val="center"/>
    </w:pPr>
    <w:rPr>
      <w:b/>
      <w:color w:val="203467"/>
      <w:sz w:val="40"/>
      <w:szCs w:val="40"/>
    </w:rPr>
  </w:style>
  <w:style w:type="paragraph" w:styleId="Corpotesto">
    <w:name w:val="Body Text"/>
    <w:basedOn w:val="Normale"/>
    <w:pPr>
      <w:spacing w:after="140" w:line="276" w:lineRule="auto"/>
    </w:pPr>
  </w:style>
  <w:style w:type="paragraph" w:styleId="Elenco">
    <w:name w:val="List"/>
    <w:basedOn w:val="Corpotesto"/>
    <w:rPr>
      <w:rFonts w:ascii="Georgia" w:hAnsi="Georgia" w:cs="Arial Unicode MS"/>
    </w:rPr>
  </w:style>
  <w:style w:type="paragraph" w:styleId="Didascalia">
    <w:name w:val="caption"/>
    <w:basedOn w:val="Normale"/>
    <w:qFormat/>
    <w:pPr>
      <w:suppressLineNumbers/>
      <w:spacing w:before="120" w:after="120"/>
    </w:pPr>
    <w:rPr>
      <w:rFonts w:ascii="Georgia" w:hAnsi="Georgia" w:cs="Arial Unicode MS"/>
      <w:i/>
      <w:iCs/>
      <w:sz w:val="24"/>
      <w:szCs w:val="24"/>
    </w:rPr>
  </w:style>
  <w:style w:type="paragraph" w:customStyle="1" w:styleId="Indice">
    <w:name w:val="Indice"/>
    <w:basedOn w:val="Normale"/>
    <w:qFormat/>
    <w:pPr>
      <w:suppressLineNumbers/>
    </w:pPr>
    <w:rPr>
      <w:rFonts w:ascii="Georgia" w:hAnsi="Georgia" w:cs="Arial Unicode MS"/>
    </w:rPr>
  </w:style>
  <w:style w:type="paragraph" w:styleId="Sottotitolo">
    <w:name w:val="Subtitle"/>
    <w:basedOn w:val="Normale"/>
    <w:next w:val="Normale"/>
    <w:uiPriority w:val="11"/>
    <w:qFormat/>
    <w:pPr>
      <w:keepNext/>
      <w:keepLines/>
      <w:spacing w:line="480" w:lineRule="auto"/>
      <w:jc w:val="center"/>
    </w:pPr>
    <w:rPr>
      <w:b/>
      <w:color w:val="203467"/>
      <w:sz w:val="34"/>
      <w:szCs w:val="34"/>
    </w:rPr>
  </w:style>
  <w:style w:type="paragraph" w:customStyle="1" w:styleId="isselectedend">
    <w:name w:val="isselectedend"/>
    <w:basedOn w:val="Normale"/>
    <w:qFormat/>
    <w:rsid w:val="006E2B91"/>
    <w:pPr>
      <w:shd w:val="clear" w:color="auto" w:fill="auto"/>
      <w:spacing w:beforeAutospacing="1" w:afterAutospacing="1" w:line="240" w:lineRule="auto"/>
      <w:jc w:val="left"/>
    </w:pPr>
    <w:rPr>
      <w:rFonts w:ascii="Times New Roman" w:eastAsia="Times New Roman" w:hAnsi="Times New Roman" w:cs="Times New Roman"/>
      <w:color w:val="auto"/>
      <w:sz w:val="24"/>
      <w:szCs w:val="24"/>
    </w:rPr>
  </w:style>
  <w:style w:type="paragraph" w:styleId="NormaleWeb">
    <w:name w:val="Normal (Web)"/>
    <w:basedOn w:val="Normale"/>
    <w:uiPriority w:val="99"/>
    <w:unhideWhenUsed/>
    <w:qFormat/>
    <w:rsid w:val="006E2B91"/>
    <w:pPr>
      <w:shd w:val="clear" w:color="auto" w:fill="auto"/>
      <w:spacing w:beforeAutospacing="1" w:afterAutospacing="1" w:line="240" w:lineRule="auto"/>
      <w:jc w:val="left"/>
    </w:pPr>
    <w:rPr>
      <w:rFonts w:ascii="Times New Roman" w:eastAsia="Times New Roman" w:hAnsi="Times New Roman" w:cs="Times New Roman"/>
      <w:color w:val="auto"/>
      <w:sz w:val="24"/>
      <w:szCs w:val="24"/>
    </w:rPr>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styleId="Pidipagina">
    <w:name w:val="footer"/>
    <w:basedOn w:val="Intestazioneepidipagina"/>
  </w:style>
  <w:style w:type="table" w:customStyle="1" w:styleId="TableNormal">
    <w:name w:val="Table Normal"/>
    <w:tblPr>
      <w:tblCellMar>
        <w:top w:w="0" w:type="dxa"/>
        <w:left w:w="0" w:type="dxa"/>
        <w:bottom w:w="0" w:type="dxa"/>
        <w:right w:w="0" w:type="dxa"/>
      </w:tblCellMar>
    </w:tblPr>
  </w:style>
  <w:style w:type="paragraph" w:styleId="Revisione">
    <w:name w:val="Revision"/>
    <w:hidden/>
    <w:uiPriority w:val="99"/>
    <w:semiHidden/>
    <w:rsid w:val="00DA61EB"/>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formars.it/corso/cittadino/vaccinare-bimbi-bimbe-una-scelta-consapevol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www.formars.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formars.it/corso/cittadino/vaccinare-bimbi-bimbe-una-scelta-consapevole"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infarmaco.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Silvia Emendi</cp:lastModifiedBy>
  <cp:revision>19</cp:revision>
  <dcterms:created xsi:type="dcterms:W3CDTF">2026-01-11T11:54:00Z</dcterms:created>
  <dcterms:modified xsi:type="dcterms:W3CDTF">2026-02-02T23:00:00Z</dcterms:modified>
  <dc:language>it-IT</dc:language>
</cp:coreProperties>
</file>